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F1" w:rsidRPr="003A35A3" w:rsidRDefault="00A113DF" w:rsidP="00C86B06">
      <w:pPr>
        <w:rPr>
          <w:b/>
          <w:bCs/>
        </w:rPr>
      </w:pPr>
      <w:r w:rsidRPr="003A35A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2B0448" wp14:editId="3E501B11">
            <wp:simplePos x="0" y="0"/>
            <wp:positionH relativeFrom="column">
              <wp:posOffset>4733925</wp:posOffset>
            </wp:positionH>
            <wp:positionV relativeFrom="paragraph">
              <wp:posOffset>257175</wp:posOffset>
            </wp:positionV>
            <wp:extent cx="1362075" cy="952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lantagenet Cherokee" w:hAnsi="Plantagenet Cherokee"/>
          <w:noProof/>
          <w:sz w:val="48"/>
          <w:szCs w:val="48"/>
        </w:rPr>
        <w:drawing>
          <wp:inline distT="0" distB="0" distL="0" distR="0" wp14:anchorId="7790ADBE" wp14:editId="0466572D">
            <wp:extent cx="2162175" cy="13049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704" b="21068"/>
                    <a:stretch/>
                  </pic:blipFill>
                  <pic:spPr bwMode="auto">
                    <a:xfrm>
                      <a:off x="0" y="0"/>
                      <a:ext cx="2177885" cy="131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17F" w:rsidRPr="003A35A3" w:rsidRDefault="00DF417F" w:rsidP="006E2B25">
      <w:pPr>
        <w:ind w:left="3240" w:firstLine="360"/>
        <w:rPr>
          <w:bCs/>
        </w:rPr>
      </w:pPr>
    </w:p>
    <w:p w:rsidR="00C31231" w:rsidRPr="003A35A3" w:rsidRDefault="00C31231" w:rsidP="006E2B25">
      <w:pPr>
        <w:ind w:left="3240" w:firstLine="360"/>
        <w:rPr>
          <w:bCs/>
        </w:rPr>
      </w:pPr>
    </w:p>
    <w:p w:rsidR="007A4B14" w:rsidRPr="00A113DF" w:rsidRDefault="007A4B14" w:rsidP="00A113DF">
      <w:pPr>
        <w:pStyle w:val="Title"/>
      </w:pPr>
      <w:r w:rsidRPr="003A35A3">
        <w:t>CFC</w:t>
      </w:r>
      <w:r w:rsidR="00DF417F" w:rsidRPr="003A35A3">
        <w:t xml:space="preserve"> myPay </w:t>
      </w:r>
      <w:r w:rsidRPr="003A35A3">
        <w:t>E-Pledge</w:t>
      </w:r>
      <w:r w:rsidR="00792F70" w:rsidRPr="003A35A3">
        <w:t xml:space="preserve"> 201</w:t>
      </w:r>
      <w:r w:rsidR="003A35A3" w:rsidRPr="003A35A3">
        <w:t>6</w:t>
      </w:r>
      <w:r w:rsidR="00A113DF">
        <w:t xml:space="preserve"> Edition</w:t>
      </w:r>
    </w:p>
    <w:p w:rsidR="003A35A3" w:rsidRPr="003A35A3" w:rsidRDefault="00BF21DB" w:rsidP="002760B0">
      <w:pPr>
        <w:rPr>
          <w:bCs/>
        </w:rPr>
      </w:pPr>
      <w:r w:rsidRPr="003A35A3">
        <w:rPr>
          <w:bCs/>
        </w:rPr>
        <w:t xml:space="preserve">For the </w:t>
      </w:r>
      <w:r w:rsidR="003A35A3" w:rsidRPr="003A35A3">
        <w:rPr>
          <w:bCs/>
        </w:rPr>
        <w:t xml:space="preserve">fourth </w:t>
      </w:r>
      <w:r w:rsidRPr="003A35A3">
        <w:rPr>
          <w:bCs/>
        </w:rPr>
        <w:t xml:space="preserve">year, </w:t>
      </w:r>
      <w:r w:rsidR="00DF417F" w:rsidRPr="003A35A3">
        <w:rPr>
          <w:bCs/>
        </w:rPr>
        <w:t xml:space="preserve">the Defense Finance and Accounting Service </w:t>
      </w:r>
      <w:r w:rsidR="002760B0" w:rsidRPr="003A35A3">
        <w:rPr>
          <w:bCs/>
        </w:rPr>
        <w:t xml:space="preserve">(DFAS) </w:t>
      </w:r>
      <w:proofErr w:type="gramStart"/>
      <w:r w:rsidR="00DF417F" w:rsidRPr="003A35A3">
        <w:rPr>
          <w:bCs/>
        </w:rPr>
        <w:t>has</w:t>
      </w:r>
      <w:proofErr w:type="gramEnd"/>
      <w:r w:rsidR="00DF417F" w:rsidRPr="003A35A3">
        <w:rPr>
          <w:bCs/>
        </w:rPr>
        <w:t xml:space="preserve"> a </w:t>
      </w:r>
      <w:r w:rsidR="00E03E7D" w:rsidRPr="003A35A3">
        <w:rPr>
          <w:bCs/>
        </w:rPr>
        <w:t>C</w:t>
      </w:r>
      <w:r w:rsidR="00DF417F" w:rsidRPr="003A35A3">
        <w:rPr>
          <w:bCs/>
        </w:rPr>
        <w:t xml:space="preserve">ombined Federal Campaign Module in myPay. This offers </w:t>
      </w:r>
      <w:r w:rsidR="00C86B06" w:rsidRPr="003A35A3">
        <w:rPr>
          <w:bCs/>
        </w:rPr>
        <w:t>Department of Defense (</w:t>
      </w:r>
      <w:r w:rsidR="00DF417F" w:rsidRPr="003A35A3">
        <w:rPr>
          <w:bCs/>
        </w:rPr>
        <w:t>DoD</w:t>
      </w:r>
      <w:r w:rsidR="00C86B06" w:rsidRPr="003A35A3">
        <w:rPr>
          <w:bCs/>
        </w:rPr>
        <w:t>)</w:t>
      </w:r>
      <w:r w:rsidR="00DF417F" w:rsidRPr="003A35A3">
        <w:rPr>
          <w:bCs/>
        </w:rPr>
        <w:t xml:space="preserve"> </w:t>
      </w:r>
      <w:r w:rsidR="00A113DF">
        <w:rPr>
          <w:bCs/>
        </w:rPr>
        <w:t>personnel (</w:t>
      </w:r>
      <w:r w:rsidR="00DF417F" w:rsidRPr="003A35A3">
        <w:rPr>
          <w:bCs/>
        </w:rPr>
        <w:t>active duty</w:t>
      </w:r>
      <w:r w:rsidR="00A113DF">
        <w:rPr>
          <w:bCs/>
        </w:rPr>
        <w:t xml:space="preserve"> military </w:t>
      </w:r>
      <w:r w:rsidR="00DF417F" w:rsidRPr="003A35A3">
        <w:rPr>
          <w:bCs/>
        </w:rPr>
        <w:t>and civilian employees</w:t>
      </w:r>
      <w:r w:rsidR="00A113DF">
        <w:rPr>
          <w:bCs/>
        </w:rPr>
        <w:t>)</w:t>
      </w:r>
      <w:r w:rsidR="00C86B06" w:rsidRPr="003A35A3">
        <w:rPr>
          <w:bCs/>
        </w:rPr>
        <w:t>,</w:t>
      </w:r>
      <w:r w:rsidR="00DF417F" w:rsidRPr="003A35A3">
        <w:rPr>
          <w:bCs/>
        </w:rPr>
        <w:t xml:space="preserve"> as well as employees at other Federal Departments service</w:t>
      </w:r>
      <w:r w:rsidRPr="003A35A3">
        <w:rPr>
          <w:bCs/>
        </w:rPr>
        <w:t>d</w:t>
      </w:r>
      <w:r w:rsidR="00DF417F" w:rsidRPr="003A35A3">
        <w:rPr>
          <w:bCs/>
        </w:rPr>
        <w:t xml:space="preserve"> by DFAS</w:t>
      </w:r>
      <w:r w:rsidR="00C86B06" w:rsidRPr="003A35A3">
        <w:rPr>
          <w:bCs/>
        </w:rPr>
        <w:t>,</w:t>
      </w:r>
      <w:r w:rsidR="00DF417F" w:rsidRPr="003A35A3">
        <w:rPr>
          <w:bCs/>
        </w:rPr>
        <w:t xml:space="preserve"> </w:t>
      </w:r>
      <w:r w:rsidR="00BA02CA" w:rsidRPr="003A35A3">
        <w:rPr>
          <w:bCs/>
        </w:rPr>
        <w:t>the</w:t>
      </w:r>
      <w:r w:rsidR="00E03E7D" w:rsidRPr="003A35A3">
        <w:rPr>
          <w:bCs/>
        </w:rPr>
        <w:t xml:space="preserve"> choice of making a CFC payroll deduction pledge on-line.</w:t>
      </w:r>
      <w:r w:rsidR="006B08BF" w:rsidRPr="003A35A3">
        <w:rPr>
          <w:bCs/>
        </w:rPr>
        <w:t xml:space="preserve"> </w:t>
      </w:r>
    </w:p>
    <w:p w:rsidR="003A35A3" w:rsidRPr="003A35A3" w:rsidRDefault="003A35A3" w:rsidP="002760B0">
      <w:pPr>
        <w:rPr>
          <w:bCs/>
        </w:rPr>
      </w:pPr>
    </w:p>
    <w:p w:rsidR="00234B16" w:rsidRPr="003A35A3" w:rsidRDefault="00DF417F" w:rsidP="002760B0">
      <w:proofErr w:type="gramStart"/>
      <w:r w:rsidRPr="003A35A3">
        <w:rPr>
          <w:bCs/>
        </w:rPr>
        <w:t>myPay</w:t>
      </w:r>
      <w:proofErr w:type="gramEnd"/>
      <w:r w:rsidRPr="003A35A3">
        <w:rPr>
          <w:bCs/>
        </w:rPr>
        <w:t xml:space="preserve"> </w:t>
      </w:r>
      <w:r w:rsidR="00347F7C" w:rsidRPr="003A35A3">
        <w:t>is a convenient, user-friendly automated system that gives employees direct control over key payroll and personnel information without having to use forms or visit</w:t>
      </w:r>
      <w:r w:rsidR="00C86B06" w:rsidRPr="003A35A3">
        <w:t xml:space="preserve"> a personnel or payroll office.</w:t>
      </w:r>
    </w:p>
    <w:p w:rsidR="00C162F4" w:rsidRPr="003A35A3" w:rsidRDefault="00C162F4" w:rsidP="002760B0"/>
    <w:p w:rsidR="00C162F4" w:rsidRPr="003A35A3" w:rsidRDefault="00C162F4" w:rsidP="002760B0">
      <w:r w:rsidRPr="003A35A3">
        <w:t xml:space="preserve">Last year, more than </w:t>
      </w:r>
      <w:r w:rsidR="003A35A3" w:rsidRPr="003A35A3">
        <w:t>67</w:t>
      </w:r>
      <w:r w:rsidRPr="003A35A3">
        <w:t>,000 military members o</w:t>
      </w:r>
      <w:r w:rsidR="003A35A3" w:rsidRPr="003A35A3">
        <w:t>r</w:t>
      </w:r>
      <w:r w:rsidRPr="003A35A3">
        <w:t xml:space="preserve"> civilians made a CFC pledge through this myPay module.  Pledges totaled more than $</w:t>
      </w:r>
      <w:r w:rsidR="00A113DF">
        <w:t>36.3</w:t>
      </w:r>
      <w:r w:rsidRPr="003A35A3">
        <w:t xml:space="preserve"> million and saved </w:t>
      </w:r>
      <w:r w:rsidR="00A113DF">
        <w:t xml:space="preserve">nearly $1 million that would have been spent </w:t>
      </w:r>
      <w:r w:rsidRPr="003A35A3">
        <w:t xml:space="preserve">processing paper pledge forms. </w:t>
      </w:r>
      <w:r w:rsidR="003A35A3" w:rsidRPr="003A35A3">
        <w:t>Over the past three campaigns, the savings incurred by processing electronic pledges through myPay exceeds $2</w:t>
      </w:r>
      <w:r w:rsidR="00A113DF">
        <w:t>.5</w:t>
      </w:r>
      <w:r w:rsidR="003A35A3" w:rsidRPr="003A35A3">
        <w:t xml:space="preserve"> million – which is money that can go to the charities by reducing CFC expenses. </w:t>
      </w:r>
    </w:p>
    <w:p w:rsidR="00234B16" w:rsidRPr="003A35A3" w:rsidRDefault="00234B16" w:rsidP="002760B0"/>
    <w:p w:rsidR="00E03E7D" w:rsidRPr="003A35A3" w:rsidRDefault="00BF21DB" w:rsidP="002760B0">
      <w:r w:rsidRPr="003A35A3">
        <w:rPr>
          <w:b/>
        </w:rPr>
        <w:t xml:space="preserve">The use of </w:t>
      </w:r>
      <w:r w:rsidR="00DF417F" w:rsidRPr="003A35A3">
        <w:rPr>
          <w:b/>
        </w:rPr>
        <w:t>myPay</w:t>
      </w:r>
      <w:r w:rsidRPr="003A35A3">
        <w:rPr>
          <w:b/>
        </w:rPr>
        <w:t xml:space="preserve"> to make a CFC pledge is strictly VOLUNTARY. Departments and offices cannot make use of the system</w:t>
      </w:r>
      <w:r w:rsidR="00E03E7D" w:rsidRPr="003A35A3">
        <w:rPr>
          <w:b/>
        </w:rPr>
        <w:t xml:space="preserve"> mandatory for CFC pledges</w:t>
      </w:r>
      <w:r w:rsidRPr="003A35A3">
        <w:rPr>
          <w:b/>
        </w:rPr>
        <w:t xml:space="preserve"> due to regulatory requirements and geographic limitations of where the tool is available. </w:t>
      </w:r>
    </w:p>
    <w:p w:rsidR="00347F7C" w:rsidRPr="003A35A3" w:rsidRDefault="00347F7C" w:rsidP="002760B0"/>
    <w:p w:rsidR="00234B16" w:rsidRPr="00A113DF" w:rsidRDefault="00A113DF" w:rsidP="00A113DF">
      <w:pPr>
        <w:ind w:left="720"/>
        <w:rPr>
          <w:i/>
        </w:rPr>
      </w:pPr>
      <w:r w:rsidRPr="00A113DF">
        <w:rPr>
          <w:i/>
        </w:rPr>
        <w:t xml:space="preserve">Note:  </w:t>
      </w:r>
      <w:r w:rsidR="003A35A3" w:rsidRPr="00A113DF">
        <w:rPr>
          <w:i/>
        </w:rPr>
        <w:t xml:space="preserve">If you use </w:t>
      </w:r>
      <w:r w:rsidR="00DF417F" w:rsidRPr="00A113DF">
        <w:rPr>
          <w:i/>
        </w:rPr>
        <w:t>myPay</w:t>
      </w:r>
      <w:r w:rsidR="003A35A3" w:rsidRPr="00A113DF">
        <w:rPr>
          <w:i/>
        </w:rPr>
        <w:t>, do NOT</w:t>
      </w:r>
      <w:r w:rsidR="00DF417F" w:rsidRPr="00A113DF">
        <w:rPr>
          <w:i/>
        </w:rPr>
        <w:t xml:space="preserve"> </w:t>
      </w:r>
      <w:r w:rsidR="00234B16" w:rsidRPr="00A113DF">
        <w:rPr>
          <w:b/>
          <w:i/>
        </w:rPr>
        <w:t xml:space="preserve">submit a </w:t>
      </w:r>
      <w:r w:rsidR="003A35A3" w:rsidRPr="00A113DF">
        <w:rPr>
          <w:b/>
          <w:i/>
        </w:rPr>
        <w:t xml:space="preserve">duplicate </w:t>
      </w:r>
      <w:r w:rsidR="00234B16" w:rsidRPr="00A113DF">
        <w:rPr>
          <w:b/>
          <w:i/>
        </w:rPr>
        <w:t>paper pledge</w:t>
      </w:r>
      <w:r w:rsidR="00234B16" w:rsidRPr="00A113DF">
        <w:rPr>
          <w:i/>
        </w:rPr>
        <w:t xml:space="preserve"> </w:t>
      </w:r>
      <w:r w:rsidR="00BA02CA" w:rsidRPr="00A113DF">
        <w:rPr>
          <w:i/>
        </w:rPr>
        <w:t>form</w:t>
      </w:r>
      <w:r w:rsidR="003A35A3" w:rsidRPr="00A113DF">
        <w:rPr>
          <w:i/>
        </w:rPr>
        <w:t>.  You are encouraged to sav</w:t>
      </w:r>
      <w:r w:rsidR="00BF21DB" w:rsidRPr="00A113DF">
        <w:rPr>
          <w:i/>
        </w:rPr>
        <w:t>e and/or</w:t>
      </w:r>
      <w:r w:rsidR="00C86B06" w:rsidRPr="00A113DF">
        <w:rPr>
          <w:i/>
        </w:rPr>
        <w:t xml:space="preserve"> </w:t>
      </w:r>
      <w:r w:rsidR="00BF21DB" w:rsidRPr="00A113DF">
        <w:rPr>
          <w:i/>
        </w:rPr>
        <w:t xml:space="preserve">print a copy of </w:t>
      </w:r>
      <w:r w:rsidR="003A35A3" w:rsidRPr="00A113DF">
        <w:rPr>
          <w:i/>
        </w:rPr>
        <w:t xml:space="preserve">your </w:t>
      </w:r>
      <w:r w:rsidR="00BF21DB" w:rsidRPr="00A113DF">
        <w:rPr>
          <w:i/>
        </w:rPr>
        <w:t xml:space="preserve">myPay pledge record for </w:t>
      </w:r>
      <w:r w:rsidR="003A35A3" w:rsidRPr="00A113DF">
        <w:rPr>
          <w:i/>
        </w:rPr>
        <w:t xml:space="preserve">your </w:t>
      </w:r>
      <w:r w:rsidR="00BF21DB" w:rsidRPr="00A113DF">
        <w:rPr>
          <w:i/>
        </w:rPr>
        <w:t>files. P</w:t>
      </w:r>
      <w:r w:rsidR="00301292" w:rsidRPr="00A113DF">
        <w:rPr>
          <w:i/>
        </w:rPr>
        <w:t>aper pledge forms may be</w:t>
      </w:r>
      <w:r w:rsidR="00234B16" w:rsidRPr="00A113DF">
        <w:rPr>
          <w:i/>
        </w:rPr>
        <w:t xml:space="preserve"> required for one-</w:t>
      </w:r>
      <w:r w:rsidR="00BA02CA" w:rsidRPr="00A113DF">
        <w:rPr>
          <w:i/>
        </w:rPr>
        <w:t>time</w:t>
      </w:r>
      <w:r w:rsidR="00234B16" w:rsidRPr="00A113DF">
        <w:rPr>
          <w:i/>
        </w:rPr>
        <w:t xml:space="preserve"> and cash </w:t>
      </w:r>
      <w:r w:rsidR="00BA02CA" w:rsidRPr="00A113DF">
        <w:rPr>
          <w:i/>
        </w:rPr>
        <w:t>contributions</w:t>
      </w:r>
      <w:r w:rsidR="00301292" w:rsidRPr="00A113DF">
        <w:rPr>
          <w:i/>
        </w:rPr>
        <w:t xml:space="preserve"> if the local campaign does not have electronic options for these gifts.</w:t>
      </w:r>
    </w:p>
    <w:p w:rsidR="00347F7C" w:rsidRPr="003A35A3" w:rsidRDefault="00347F7C" w:rsidP="002760B0">
      <w:pPr>
        <w:rPr>
          <w:b/>
          <w:bCs/>
        </w:rPr>
      </w:pPr>
    </w:p>
    <w:p w:rsidR="00B1576D" w:rsidRPr="003A35A3" w:rsidRDefault="00B1576D" w:rsidP="003A35A3">
      <w:pPr>
        <w:pStyle w:val="Heading1"/>
      </w:pPr>
      <w:r w:rsidRPr="003A35A3">
        <w:t xml:space="preserve">Benefits </w:t>
      </w:r>
      <w:r w:rsidR="003A35A3" w:rsidRPr="003A35A3">
        <w:t xml:space="preserve">of </w:t>
      </w:r>
      <w:proofErr w:type="gramStart"/>
      <w:r w:rsidR="003A35A3" w:rsidRPr="003A35A3">
        <w:t>Using</w:t>
      </w:r>
      <w:proofErr w:type="gramEnd"/>
      <w:r w:rsidR="003A35A3" w:rsidRPr="003A35A3">
        <w:t xml:space="preserve"> </w:t>
      </w:r>
      <w:r w:rsidR="003A35A3">
        <w:t>m</w:t>
      </w:r>
      <w:r w:rsidR="003A35A3" w:rsidRPr="003A35A3">
        <w:t>y</w:t>
      </w:r>
      <w:r w:rsidR="003A35A3">
        <w:t>P</w:t>
      </w:r>
      <w:r w:rsidR="003A35A3" w:rsidRPr="003A35A3">
        <w:t xml:space="preserve">ay </w:t>
      </w:r>
    </w:p>
    <w:p w:rsidR="002C25A8" w:rsidRPr="003A35A3" w:rsidRDefault="00AD18FF" w:rsidP="003A35A3">
      <w:pPr>
        <w:numPr>
          <w:ilvl w:val="0"/>
          <w:numId w:val="8"/>
        </w:numPr>
        <w:rPr>
          <w:bCs/>
        </w:rPr>
      </w:pPr>
      <w:r w:rsidRPr="003A35A3">
        <w:rPr>
          <w:b/>
          <w:bCs/>
        </w:rPr>
        <w:t xml:space="preserve">Confidential and </w:t>
      </w:r>
      <w:proofErr w:type="gramStart"/>
      <w:r w:rsidR="002C25A8" w:rsidRPr="003A35A3">
        <w:rPr>
          <w:b/>
          <w:bCs/>
        </w:rPr>
        <w:t>Secur</w:t>
      </w:r>
      <w:r w:rsidRPr="003A35A3">
        <w:rPr>
          <w:b/>
          <w:bCs/>
        </w:rPr>
        <w:t>e</w:t>
      </w:r>
      <w:proofErr w:type="gramEnd"/>
      <w:r w:rsidR="002C25A8" w:rsidRPr="003A35A3">
        <w:rPr>
          <w:bCs/>
        </w:rPr>
        <w:t xml:space="preserve">: </w:t>
      </w:r>
      <w:r w:rsidR="00DF417F" w:rsidRPr="003A35A3">
        <w:rPr>
          <w:bCs/>
        </w:rPr>
        <w:t xml:space="preserve">myPay </w:t>
      </w:r>
      <w:r w:rsidR="00D67FE9" w:rsidRPr="003A35A3">
        <w:rPr>
          <w:bCs/>
        </w:rPr>
        <w:t>has secure links directly to your payroll providers</w:t>
      </w:r>
      <w:r w:rsidR="00DF417F" w:rsidRPr="003A35A3">
        <w:rPr>
          <w:bCs/>
        </w:rPr>
        <w:t xml:space="preserve"> (DJMS, DCPS, MCTFS, etc.)</w:t>
      </w:r>
      <w:r w:rsidR="00D67FE9" w:rsidRPr="003A35A3">
        <w:rPr>
          <w:bCs/>
        </w:rPr>
        <w:t xml:space="preserve">. </w:t>
      </w:r>
      <w:r w:rsidR="002C25A8" w:rsidRPr="003A35A3">
        <w:rPr>
          <w:bCs/>
        </w:rPr>
        <w:t xml:space="preserve">No SSN information is passed to </w:t>
      </w:r>
      <w:r w:rsidR="00D67FE9" w:rsidRPr="003A35A3">
        <w:rPr>
          <w:bCs/>
        </w:rPr>
        <w:t>a</w:t>
      </w:r>
      <w:r w:rsidR="002C25A8" w:rsidRPr="003A35A3">
        <w:rPr>
          <w:bCs/>
        </w:rPr>
        <w:t xml:space="preserve"> campaign or mailed to another office for input. </w:t>
      </w:r>
    </w:p>
    <w:p w:rsidR="00BA02CA" w:rsidRPr="003A35A3" w:rsidRDefault="00BA02CA" w:rsidP="003A35A3">
      <w:pPr>
        <w:numPr>
          <w:ilvl w:val="0"/>
          <w:numId w:val="8"/>
        </w:numPr>
        <w:rPr>
          <w:bCs/>
        </w:rPr>
      </w:pPr>
      <w:r w:rsidRPr="003A35A3">
        <w:rPr>
          <w:b/>
          <w:bCs/>
        </w:rPr>
        <w:t>Accurate</w:t>
      </w:r>
      <w:r w:rsidRPr="003A35A3">
        <w:rPr>
          <w:bCs/>
        </w:rPr>
        <w:t>:</w:t>
      </w:r>
      <w:r w:rsidR="002C25A8" w:rsidRPr="003A35A3">
        <w:rPr>
          <w:bCs/>
        </w:rPr>
        <w:t xml:space="preserve"> All pledges are received electronically by the payroll office</w:t>
      </w:r>
      <w:r w:rsidRPr="003A35A3">
        <w:rPr>
          <w:bCs/>
        </w:rPr>
        <w:t xml:space="preserve"> and </w:t>
      </w:r>
      <w:r w:rsidR="002A4364" w:rsidRPr="003A35A3">
        <w:rPr>
          <w:bCs/>
        </w:rPr>
        <w:t xml:space="preserve">there are </w:t>
      </w:r>
      <w:r w:rsidRPr="003A35A3">
        <w:rPr>
          <w:bCs/>
        </w:rPr>
        <w:t xml:space="preserve">no math calculations to correct or </w:t>
      </w:r>
      <w:r w:rsidR="002A4364" w:rsidRPr="003A35A3">
        <w:rPr>
          <w:bCs/>
        </w:rPr>
        <w:t xml:space="preserve">legibility issues </w:t>
      </w:r>
      <w:r w:rsidRPr="003A35A3">
        <w:rPr>
          <w:bCs/>
        </w:rPr>
        <w:t>to decipher.</w:t>
      </w:r>
    </w:p>
    <w:p w:rsidR="00B1576D" w:rsidRPr="003A35A3" w:rsidRDefault="002C25A8" w:rsidP="003A35A3">
      <w:pPr>
        <w:numPr>
          <w:ilvl w:val="0"/>
          <w:numId w:val="8"/>
        </w:numPr>
        <w:rPr>
          <w:bCs/>
        </w:rPr>
      </w:pPr>
      <w:r w:rsidRPr="003A35A3">
        <w:rPr>
          <w:b/>
          <w:bCs/>
        </w:rPr>
        <w:t>Searchable</w:t>
      </w:r>
      <w:r w:rsidRPr="003A35A3">
        <w:rPr>
          <w:bCs/>
        </w:rPr>
        <w:t xml:space="preserve">: </w:t>
      </w:r>
      <w:r w:rsidR="00D67FE9" w:rsidRPr="003A35A3">
        <w:rPr>
          <w:bCs/>
        </w:rPr>
        <w:t>Q</w:t>
      </w:r>
      <w:r w:rsidR="00B1576D" w:rsidRPr="003A35A3">
        <w:rPr>
          <w:bCs/>
        </w:rPr>
        <w:t>uery the charity database to se</w:t>
      </w:r>
      <w:r w:rsidR="00E03E7D" w:rsidRPr="003A35A3">
        <w:rPr>
          <w:bCs/>
        </w:rPr>
        <w:t>arch for and se</w:t>
      </w:r>
      <w:r w:rsidR="00B1576D" w:rsidRPr="003A35A3">
        <w:rPr>
          <w:bCs/>
        </w:rPr>
        <w:t>lect charities</w:t>
      </w:r>
      <w:r w:rsidRPr="003A35A3">
        <w:rPr>
          <w:bCs/>
        </w:rPr>
        <w:t xml:space="preserve"> </w:t>
      </w:r>
      <w:r w:rsidR="00E03E7D" w:rsidRPr="003A35A3">
        <w:rPr>
          <w:bCs/>
        </w:rPr>
        <w:t xml:space="preserve">from </w:t>
      </w:r>
      <w:r w:rsidR="002A4364" w:rsidRPr="003A35A3">
        <w:rPr>
          <w:bCs/>
        </w:rPr>
        <w:t xml:space="preserve">your </w:t>
      </w:r>
      <w:r w:rsidR="00BF21DB" w:rsidRPr="003A35A3">
        <w:rPr>
          <w:bCs/>
        </w:rPr>
        <w:t xml:space="preserve">Universal Giving Database. Personnel are encouraged to </w:t>
      </w:r>
      <w:r w:rsidR="00DF417F" w:rsidRPr="003A35A3">
        <w:rPr>
          <w:bCs/>
        </w:rPr>
        <w:t>use a local CFC website to do advanced charity research</w:t>
      </w:r>
      <w:r w:rsidR="00BF21DB" w:rsidRPr="003A35A3">
        <w:rPr>
          <w:bCs/>
        </w:rPr>
        <w:t xml:space="preserve"> because myPay transactions must be completed within 30 minutes</w:t>
      </w:r>
      <w:r w:rsidR="00DF417F" w:rsidRPr="003A35A3">
        <w:rPr>
          <w:bCs/>
        </w:rPr>
        <w:t>.</w:t>
      </w:r>
    </w:p>
    <w:p w:rsidR="00BA02CA" w:rsidRPr="003A35A3" w:rsidRDefault="00BA02CA" w:rsidP="003A35A3">
      <w:pPr>
        <w:numPr>
          <w:ilvl w:val="0"/>
          <w:numId w:val="8"/>
        </w:numPr>
        <w:rPr>
          <w:bCs/>
        </w:rPr>
      </w:pPr>
      <w:r w:rsidRPr="003A35A3">
        <w:rPr>
          <w:b/>
          <w:bCs/>
        </w:rPr>
        <w:lastRenderedPageBreak/>
        <w:t>Flexibility</w:t>
      </w:r>
      <w:r w:rsidRPr="003A35A3">
        <w:rPr>
          <w:bCs/>
        </w:rPr>
        <w:t>: Donors can pledge to up to 30 charities</w:t>
      </w:r>
      <w:r w:rsidR="00DF417F" w:rsidRPr="003A35A3">
        <w:rPr>
          <w:bCs/>
        </w:rPr>
        <w:t xml:space="preserve">. Any changes required must be made through your payroll office customer service team through </w:t>
      </w:r>
      <w:r w:rsidRPr="003A35A3">
        <w:t>December 15.</w:t>
      </w:r>
      <w:r w:rsidR="00DF417F" w:rsidRPr="003A35A3">
        <w:t xml:space="preserve"> After the campaign, you can contact them to change or cancel a pledge.</w:t>
      </w:r>
    </w:p>
    <w:p w:rsidR="002C25A8" w:rsidRPr="003A35A3" w:rsidRDefault="002C25A8" w:rsidP="003A35A3">
      <w:pPr>
        <w:numPr>
          <w:ilvl w:val="0"/>
          <w:numId w:val="8"/>
        </w:numPr>
        <w:rPr>
          <w:bCs/>
        </w:rPr>
      </w:pPr>
      <w:r w:rsidRPr="003A35A3">
        <w:rPr>
          <w:b/>
          <w:bCs/>
        </w:rPr>
        <w:t>Printable</w:t>
      </w:r>
      <w:r w:rsidRPr="003A35A3">
        <w:rPr>
          <w:bCs/>
        </w:rPr>
        <w:t xml:space="preserve">: Employees </w:t>
      </w:r>
      <w:r w:rsidR="00D6434E" w:rsidRPr="003A35A3">
        <w:rPr>
          <w:bCs/>
        </w:rPr>
        <w:t xml:space="preserve">are strongly encouraged to </w:t>
      </w:r>
      <w:r w:rsidRPr="003A35A3">
        <w:rPr>
          <w:bCs/>
        </w:rPr>
        <w:t>print a copy of the pledge for their records.</w:t>
      </w:r>
      <w:r w:rsidR="00D6434E" w:rsidRPr="003A35A3">
        <w:rPr>
          <w:bCs/>
        </w:rPr>
        <w:t xml:space="preserve"> </w:t>
      </w:r>
    </w:p>
    <w:p w:rsidR="00227738" w:rsidRPr="003A35A3" w:rsidRDefault="00CA7002" w:rsidP="003A35A3">
      <w:pPr>
        <w:numPr>
          <w:ilvl w:val="0"/>
          <w:numId w:val="8"/>
        </w:numPr>
      </w:pPr>
      <w:r w:rsidRPr="003A35A3">
        <w:rPr>
          <w:b/>
          <w:bCs/>
        </w:rPr>
        <w:t>Fast</w:t>
      </w:r>
      <w:r w:rsidR="002C25A8" w:rsidRPr="003A35A3">
        <w:rPr>
          <w:b/>
          <w:bCs/>
        </w:rPr>
        <w:t>:</w:t>
      </w:r>
      <w:r w:rsidR="002C25A8" w:rsidRPr="003A35A3">
        <w:rPr>
          <w:bCs/>
        </w:rPr>
        <w:t xml:space="preserve"> </w:t>
      </w:r>
      <w:r w:rsidR="00B1576D" w:rsidRPr="003A35A3">
        <w:rPr>
          <w:bCs/>
        </w:rPr>
        <w:t>Information is processed immediately</w:t>
      </w:r>
      <w:r w:rsidR="00BA02CA" w:rsidRPr="003A35A3">
        <w:rPr>
          <w:bCs/>
        </w:rPr>
        <w:t>,</w:t>
      </w:r>
      <w:r w:rsidR="002C25A8" w:rsidRPr="003A35A3">
        <w:rPr>
          <w:bCs/>
        </w:rPr>
        <w:t xml:space="preserve"> in real-time</w:t>
      </w:r>
      <w:r w:rsidR="00BA02CA" w:rsidRPr="003A35A3">
        <w:rPr>
          <w:bCs/>
        </w:rPr>
        <w:t>,</w:t>
      </w:r>
      <w:r w:rsidR="00B1576D" w:rsidRPr="003A35A3">
        <w:rPr>
          <w:bCs/>
        </w:rPr>
        <w:t xml:space="preserve"> to the CFC reports site </w:t>
      </w:r>
      <w:r w:rsidR="00016E56" w:rsidRPr="003A35A3">
        <w:rPr>
          <w:bCs/>
        </w:rPr>
        <w:t>and to the payroll providers daily</w:t>
      </w:r>
      <w:r w:rsidR="002C25A8" w:rsidRPr="003A35A3">
        <w:rPr>
          <w:bCs/>
        </w:rPr>
        <w:t>.</w:t>
      </w:r>
      <w:r w:rsidR="00016E56" w:rsidRPr="003A35A3">
        <w:rPr>
          <w:bCs/>
        </w:rPr>
        <w:t xml:space="preserve"> </w:t>
      </w:r>
      <w:r w:rsidR="00234B16" w:rsidRPr="003A35A3">
        <w:rPr>
          <w:bCs/>
        </w:rPr>
        <w:t>Loca</w:t>
      </w:r>
      <w:r w:rsidR="00BA02CA" w:rsidRPr="003A35A3">
        <w:rPr>
          <w:bCs/>
        </w:rPr>
        <w:t>l</w:t>
      </w:r>
      <w:r w:rsidR="00234B16" w:rsidRPr="003A35A3">
        <w:rPr>
          <w:bCs/>
        </w:rPr>
        <w:t xml:space="preserve"> </w:t>
      </w:r>
      <w:r w:rsidR="00BA02CA" w:rsidRPr="003A35A3">
        <w:rPr>
          <w:bCs/>
        </w:rPr>
        <w:t>campaigns retrieve</w:t>
      </w:r>
      <w:r w:rsidR="00234B16" w:rsidRPr="003A35A3">
        <w:rPr>
          <w:bCs/>
        </w:rPr>
        <w:t xml:space="preserve"> reports and distribute </w:t>
      </w:r>
      <w:r w:rsidR="00BA02CA" w:rsidRPr="003A35A3">
        <w:rPr>
          <w:bCs/>
        </w:rPr>
        <w:t xml:space="preserve">them </w:t>
      </w:r>
      <w:r w:rsidR="00234B16" w:rsidRPr="003A35A3">
        <w:rPr>
          <w:bCs/>
        </w:rPr>
        <w:t>as need</w:t>
      </w:r>
      <w:r w:rsidR="00BA02CA" w:rsidRPr="003A35A3">
        <w:rPr>
          <w:bCs/>
        </w:rPr>
        <w:t>ed to agencies in</w:t>
      </w:r>
      <w:r w:rsidR="00234B16" w:rsidRPr="003A35A3">
        <w:rPr>
          <w:bCs/>
        </w:rPr>
        <w:t xml:space="preserve"> their campaigns.</w:t>
      </w:r>
    </w:p>
    <w:p w:rsidR="007169F1" w:rsidRPr="003A35A3" w:rsidRDefault="002C25A8" w:rsidP="003A35A3">
      <w:pPr>
        <w:numPr>
          <w:ilvl w:val="0"/>
          <w:numId w:val="8"/>
        </w:numPr>
        <w:rPr>
          <w:rStyle w:val="Hyperlink"/>
          <w:b/>
          <w:i/>
          <w:color w:val="auto"/>
          <w:u w:val="none"/>
        </w:rPr>
      </w:pPr>
      <w:r w:rsidRPr="003A35A3">
        <w:rPr>
          <w:b/>
        </w:rPr>
        <w:t>Availab</w:t>
      </w:r>
      <w:r w:rsidR="00D67FE9" w:rsidRPr="003A35A3">
        <w:rPr>
          <w:b/>
        </w:rPr>
        <w:t>le</w:t>
      </w:r>
      <w:r w:rsidRPr="003A35A3">
        <w:rPr>
          <w:b/>
        </w:rPr>
        <w:t>:</w:t>
      </w:r>
      <w:r w:rsidRPr="003A35A3">
        <w:t xml:space="preserve"> </w:t>
      </w:r>
      <w:r w:rsidR="00DF417F" w:rsidRPr="003A35A3">
        <w:t xml:space="preserve">myPay </w:t>
      </w:r>
      <w:r w:rsidR="00BA02CA" w:rsidRPr="003A35A3">
        <w:t xml:space="preserve">is open </w:t>
      </w:r>
      <w:r w:rsidR="00347F7C" w:rsidRPr="003A35A3">
        <w:t>24 hours a day, 7 days a week</w:t>
      </w:r>
      <w:r w:rsidR="003D5D89" w:rsidRPr="003A35A3">
        <w:t xml:space="preserve"> </w:t>
      </w:r>
      <w:r w:rsidR="00A51C71" w:rsidRPr="003A35A3">
        <w:t xml:space="preserve">from September 1 through </w:t>
      </w:r>
      <w:r w:rsidR="00BA02CA" w:rsidRPr="003A35A3">
        <w:t>December 15</w:t>
      </w:r>
      <w:r w:rsidR="006F60B2" w:rsidRPr="003A35A3">
        <w:t xml:space="preserve"> </w:t>
      </w:r>
      <w:r w:rsidR="00347F7C" w:rsidRPr="003A35A3">
        <w:t>via the Internet</w:t>
      </w:r>
      <w:r w:rsidR="0064165C" w:rsidRPr="003A35A3">
        <w:t>:</w:t>
      </w:r>
      <w:r w:rsidR="003A35A3">
        <w:t xml:space="preserve"> </w:t>
      </w:r>
      <w:hyperlink r:id="rId11" w:history="1">
        <w:r w:rsidR="00DF417F" w:rsidRPr="003A35A3">
          <w:rPr>
            <w:rStyle w:val="Hyperlink"/>
            <w:b/>
            <w:color w:val="auto"/>
          </w:rPr>
          <w:t>https://mypay.dfas.mil/mypay.aspx</w:t>
        </w:r>
      </w:hyperlink>
    </w:p>
    <w:p w:rsidR="003A35A3" w:rsidRDefault="003A35A3" w:rsidP="003A35A3">
      <w:pPr>
        <w:rPr>
          <w:b/>
          <w:i/>
        </w:rPr>
      </w:pPr>
    </w:p>
    <w:p w:rsidR="003A35A3" w:rsidRPr="003A35A3" w:rsidRDefault="003A35A3" w:rsidP="003A35A3">
      <w:pPr>
        <w:rPr>
          <w:b/>
          <w:i/>
        </w:rPr>
      </w:pPr>
      <w:r>
        <w:rPr>
          <w:b/>
          <w:i/>
        </w:rPr>
        <w:t xml:space="preserve">(Note: myPay is a secured transaction site, not a research site.  </w:t>
      </w:r>
      <w:r w:rsidR="00A113DF">
        <w:rPr>
          <w:b/>
          <w:i/>
        </w:rPr>
        <w:t xml:space="preserve">Your DoD </w:t>
      </w:r>
      <w:r>
        <w:rPr>
          <w:b/>
          <w:i/>
        </w:rPr>
        <w:t>CFC Team advises</w:t>
      </w:r>
      <w:r w:rsidR="00A113DF">
        <w:rPr>
          <w:b/>
          <w:i/>
        </w:rPr>
        <w:t xml:space="preserve"> all personnel</w:t>
      </w:r>
      <w:r>
        <w:rPr>
          <w:b/>
          <w:i/>
        </w:rPr>
        <w:t xml:space="preserve"> to research charity choices before logging in to myPay</w:t>
      </w:r>
      <w:r w:rsidR="00A113DF">
        <w:rPr>
          <w:b/>
          <w:i/>
        </w:rPr>
        <w:t xml:space="preserve"> to provide the easiest customer experience</w:t>
      </w:r>
      <w:r>
        <w:rPr>
          <w:b/>
          <w:i/>
        </w:rPr>
        <w:t xml:space="preserve">.) </w:t>
      </w:r>
    </w:p>
    <w:p w:rsidR="00DF417F" w:rsidRPr="003A35A3" w:rsidRDefault="00DF417F" w:rsidP="002760B0">
      <w:pPr>
        <w:ind w:right="-900"/>
        <w:rPr>
          <w:rStyle w:val="Heading1Char"/>
          <w:rFonts w:ascii="Times New Roman" w:hAnsi="Times New Roman" w:cs="Times New Roman"/>
          <w:sz w:val="24"/>
          <w:szCs w:val="24"/>
        </w:rPr>
      </w:pPr>
    </w:p>
    <w:p w:rsidR="00BA02CA" w:rsidRPr="003A35A3" w:rsidRDefault="00DF417F" w:rsidP="003A35A3">
      <w:pPr>
        <w:pStyle w:val="Heading1"/>
      </w:pPr>
      <w:proofErr w:type="gramStart"/>
      <w:r w:rsidRPr="003A35A3">
        <w:t>myPay</w:t>
      </w:r>
      <w:proofErr w:type="gramEnd"/>
      <w:r w:rsidRPr="003A35A3">
        <w:t xml:space="preserve"> </w:t>
      </w:r>
      <w:r w:rsidR="007169F1" w:rsidRPr="003A35A3">
        <w:t xml:space="preserve">Participating </w:t>
      </w:r>
      <w:r w:rsidR="00D6434E" w:rsidRPr="003A35A3">
        <w:t xml:space="preserve">Federal </w:t>
      </w:r>
      <w:r w:rsidR="007169F1" w:rsidRPr="003A35A3">
        <w:t>Agencies</w:t>
      </w:r>
      <w:r w:rsidR="00D6434E" w:rsidRPr="003A35A3">
        <w:t>/Offices</w:t>
      </w:r>
      <w:r w:rsidR="00A51C71" w:rsidRPr="003A35A3">
        <w:t xml:space="preserve">: </w:t>
      </w:r>
      <w:r w:rsidR="00F173F8" w:rsidRPr="003A35A3">
        <w:t>20</w:t>
      </w:r>
      <w:r w:rsidR="002806B0" w:rsidRPr="003A35A3">
        <w:t>1</w:t>
      </w:r>
      <w:r w:rsidR="003A35A3">
        <w:t>6</w:t>
      </w:r>
    </w:p>
    <w:p w:rsidR="007169F1" w:rsidRPr="003A35A3" w:rsidRDefault="007169F1" w:rsidP="002760B0">
      <w:pPr>
        <w:rPr>
          <w:b/>
          <w:bCs/>
        </w:rPr>
      </w:pPr>
    </w:p>
    <w:p w:rsidR="00DF417F" w:rsidRPr="003A35A3" w:rsidRDefault="00DF417F" w:rsidP="002760B0">
      <w:pPr>
        <w:rPr>
          <w:b/>
          <w:bCs/>
          <w:i/>
        </w:rPr>
      </w:pPr>
      <w:r w:rsidRPr="003A35A3">
        <w:rPr>
          <w:b/>
          <w:bCs/>
          <w:i/>
        </w:rPr>
        <w:t>The Military Departments</w:t>
      </w:r>
    </w:p>
    <w:p w:rsidR="00A51C71" w:rsidRPr="003A35A3" w:rsidRDefault="00A51C71" w:rsidP="002760B0">
      <w:pPr>
        <w:numPr>
          <w:ilvl w:val="0"/>
          <w:numId w:val="6"/>
        </w:numPr>
        <w:ind w:left="0" w:firstLine="360"/>
        <w:rPr>
          <w:b/>
          <w:bCs/>
        </w:rPr>
      </w:pPr>
      <w:r w:rsidRPr="003A35A3">
        <w:rPr>
          <w:b/>
          <w:bCs/>
        </w:rPr>
        <w:t>Air Force</w:t>
      </w:r>
    </w:p>
    <w:p w:rsidR="00A51C71" w:rsidRPr="003A35A3" w:rsidRDefault="00A51C71" w:rsidP="002760B0">
      <w:pPr>
        <w:numPr>
          <w:ilvl w:val="0"/>
          <w:numId w:val="6"/>
        </w:numPr>
        <w:ind w:left="0" w:firstLine="360"/>
        <w:rPr>
          <w:b/>
          <w:bCs/>
        </w:rPr>
      </w:pPr>
      <w:r w:rsidRPr="003A35A3">
        <w:rPr>
          <w:b/>
          <w:bCs/>
        </w:rPr>
        <w:t>Army</w:t>
      </w:r>
    </w:p>
    <w:p w:rsidR="00DF417F" w:rsidRPr="003A35A3" w:rsidRDefault="00DF417F" w:rsidP="002760B0">
      <w:pPr>
        <w:numPr>
          <w:ilvl w:val="0"/>
          <w:numId w:val="6"/>
        </w:numPr>
        <w:ind w:left="0" w:firstLine="360"/>
        <w:rPr>
          <w:b/>
          <w:bCs/>
        </w:rPr>
      </w:pPr>
      <w:r w:rsidRPr="003A35A3">
        <w:rPr>
          <w:b/>
          <w:bCs/>
        </w:rPr>
        <w:t>Navy/Marines</w:t>
      </w:r>
    </w:p>
    <w:p w:rsidR="00DF417F" w:rsidRPr="003A35A3" w:rsidRDefault="00DF417F" w:rsidP="002760B0">
      <w:pPr>
        <w:rPr>
          <w:b/>
          <w:bCs/>
          <w:i/>
        </w:rPr>
      </w:pPr>
    </w:p>
    <w:p w:rsidR="00DF417F" w:rsidRPr="003A35A3" w:rsidRDefault="00DF417F" w:rsidP="002760B0">
      <w:pPr>
        <w:rPr>
          <w:b/>
          <w:bCs/>
          <w:i/>
        </w:rPr>
      </w:pPr>
      <w:r w:rsidRPr="003A35A3">
        <w:rPr>
          <w:b/>
          <w:bCs/>
          <w:i/>
        </w:rPr>
        <w:t>Independent Defense Agencies and Field Activities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Office of the Secretary of Defense/Field Activities (OSD and OSD FA)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Defense Intelligence Agency</w:t>
      </w:r>
    </w:p>
    <w:p w:rsidR="00BD6FE4" w:rsidRPr="003A35A3" w:rsidRDefault="00BD6FE4" w:rsidP="002760B0">
      <w:pPr>
        <w:rPr>
          <w:b/>
          <w:bCs/>
        </w:rPr>
      </w:pPr>
      <w:r w:rsidRPr="003A35A3">
        <w:rPr>
          <w:b/>
          <w:bCs/>
        </w:rPr>
        <w:t>Defense Health Agency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National Geospatial Intelligence Agency (NGA)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Defense Logistics Agency (DLA)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Joint Chiefs of Staff (JCS)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Defense Threat Reduction Agency (DTRA)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Washington Headquarters Services (WHS)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DoD Inspector General (DoDIG)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Uniformed Services University of the Health Sciences (USUHS)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Defense Advanced Research Projects Agency (DARPA)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Defense Contract Audit Agency (DCAA)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Pentagon Force Protection Agency (PFPA)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Defense Security Cooperation Agency (DSCA)</w:t>
      </w:r>
    </w:p>
    <w:p w:rsidR="00DF417F" w:rsidRPr="003A35A3" w:rsidRDefault="00DF417F" w:rsidP="002760B0">
      <w:pPr>
        <w:rPr>
          <w:b/>
          <w:bCs/>
        </w:rPr>
      </w:pPr>
      <w:proofErr w:type="gramStart"/>
      <w:r w:rsidRPr="003A35A3">
        <w:rPr>
          <w:b/>
          <w:bCs/>
        </w:rPr>
        <w:t>DoD</w:t>
      </w:r>
      <w:proofErr w:type="gramEnd"/>
      <w:r w:rsidRPr="003A35A3">
        <w:rPr>
          <w:b/>
          <w:bCs/>
        </w:rPr>
        <w:t xml:space="preserve"> Educational Activity (DoDEA)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Missile Defense Agency (MDA)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Defense Finance and Accounting Service (DFAS)</w:t>
      </w:r>
    </w:p>
    <w:p w:rsidR="00DF417F" w:rsidRPr="003A35A3" w:rsidRDefault="00DF417F" w:rsidP="002760B0">
      <w:pPr>
        <w:rPr>
          <w:b/>
          <w:bCs/>
        </w:rPr>
      </w:pPr>
      <w:r w:rsidRPr="003A35A3">
        <w:rPr>
          <w:b/>
          <w:bCs/>
        </w:rPr>
        <w:t>Defense Security Service (DSS)</w:t>
      </w:r>
    </w:p>
    <w:p w:rsidR="00BD6FE4" w:rsidRPr="003A35A3" w:rsidRDefault="00BD6FE4" w:rsidP="002760B0">
      <w:pPr>
        <w:rPr>
          <w:b/>
          <w:bCs/>
        </w:rPr>
      </w:pPr>
    </w:p>
    <w:p w:rsidR="00DF417F" w:rsidRPr="003A35A3" w:rsidRDefault="00DF417F" w:rsidP="002760B0">
      <w:pPr>
        <w:rPr>
          <w:b/>
          <w:bCs/>
          <w:i/>
        </w:rPr>
      </w:pPr>
      <w:r w:rsidRPr="003A35A3">
        <w:rPr>
          <w:b/>
          <w:bCs/>
          <w:i/>
        </w:rPr>
        <w:t>DFAS Executive Branch Clients</w:t>
      </w:r>
    </w:p>
    <w:p w:rsidR="00A97E51" w:rsidRPr="00A97E51" w:rsidRDefault="00381088" w:rsidP="00A97E51">
      <w:pPr>
        <w:numPr>
          <w:ilvl w:val="0"/>
          <w:numId w:val="7"/>
        </w:numPr>
        <w:ind w:left="360" w:firstLine="360"/>
        <w:rPr>
          <w:b/>
          <w:bCs/>
          <w:color w:val="000080"/>
        </w:rPr>
      </w:pPr>
      <w:r w:rsidRPr="00A97E51">
        <w:rPr>
          <w:b/>
          <w:bCs/>
        </w:rPr>
        <w:t>Broadcasting Board of Governors</w:t>
      </w:r>
    </w:p>
    <w:p w:rsidR="00A97E51" w:rsidRPr="00A97E51" w:rsidRDefault="00381088" w:rsidP="00A97E51">
      <w:pPr>
        <w:numPr>
          <w:ilvl w:val="0"/>
          <w:numId w:val="7"/>
        </w:numPr>
        <w:ind w:left="360" w:firstLine="360"/>
        <w:rPr>
          <w:b/>
          <w:bCs/>
          <w:color w:val="000080"/>
        </w:rPr>
      </w:pPr>
      <w:bookmarkStart w:id="0" w:name="_GoBack"/>
      <w:bookmarkEnd w:id="0"/>
      <w:r w:rsidRPr="00A97E51">
        <w:rPr>
          <w:b/>
          <w:bCs/>
        </w:rPr>
        <w:t>Department of Energy</w:t>
      </w:r>
    </w:p>
    <w:p w:rsidR="00A97E51" w:rsidRPr="00A97E51" w:rsidRDefault="00381088" w:rsidP="00A97E51">
      <w:pPr>
        <w:numPr>
          <w:ilvl w:val="0"/>
          <w:numId w:val="7"/>
        </w:numPr>
        <w:ind w:left="360" w:firstLine="360"/>
        <w:rPr>
          <w:b/>
          <w:bCs/>
          <w:color w:val="000080"/>
        </w:rPr>
      </w:pPr>
      <w:r w:rsidRPr="00A97E51">
        <w:rPr>
          <w:b/>
          <w:bCs/>
        </w:rPr>
        <w:t xml:space="preserve">Department of Health and Human Services </w:t>
      </w:r>
    </w:p>
    <w:p w:rsidR="00A97E51" w:rsidRPr="00A97E51" w:rsidRDefault="00A51C71" w:rsidP="00A97E51">
      <w:pPr>
        <w:numPr>
          <w:ilvl w:val="0"/>
          <w:numId w:val="7"/>
        </w:numPr>
        <w:ind w:left="360" w:firstLine="360"/>
        <w:rPr>
          <w:b/>
          <w:bCs/>
          <w:color w:val="000080"/>
        </w:rPr>
      </w:pPr>
      <w:r w:rsidRPr="00A97E51">
        <w:rPr>
          <w:b/>
          <w:bCs/>
        </w:rPr>
        <w:t xml:space="preserve">Department of </w:t>
      </w:r>
      <w:r w:rsidR="00DF417F" w:rsidRPr="00A97E51">
        <w:rPr>
          <w:b/>
          <w:bCs/>
        </w:rPr>
        <w:t>Veterans A</w:t>
      </w:r>
      <w:r w:rsidR="00381088" w:rsidRPr="00A97E51">
        <w:rPr>
          <w:b/>
          <w:bCs/>
        </w:rPr>
        <w:t xml:space="preserve">ffairs </w:t>
      </w:r>
    </w:p>
    <w:p w:rsidR="00A97E51" w:rsidRPr="00A97E51" w:rsidRDefault="00DF417F" w:rsidP="00A97E51">
      <w:pPr>
        <w:numPr>
          <w:ilvl w:val="0"/>
          <w:numId w:val="7"/>
        </w:numPr>
        <w:ind w:left="360" w:firstLine="360"/>
        <w:rPr>
          <w:b/>
          <w:bCs/>
          <w:color w:val="000080"/>
        </w:rPr>
      </w:pPr>
      <w:r w:rsidRPr="00A97E51">
        <w:rPr>
          <w:b/>
          <w:bCs/>
        </w:rPr>
        <w:t>Executive Office of the President</w:t>
      </w:r>
    </w:p>
    <w:sectPr w:rsidR="00A97E51" w:rsidRPr="00A97E51" w:rsidSect="005C1B55">
      <w:footerReference w:type="default" r:id="rId12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5E" w:rsidRDefault="0077305E" w:rsidP="00323BE2">
      <w:r>
        <w:separator/>
      </w:r>
    </w:p>
  </w:endnote>
  <w:endnote w:type="continuationSeparator" w:id="0">
    <w:p w:rsidR="0077305E" w:rsidRDefault="0077305E" w:rsidP="0032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BE2" w:rsidRDefault="00323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BE2" w:rsidRDefault="00323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5E" w:rsidRDefault="0077305E" w:rsidP="00323BE2">
      <w:r>
        <w:separator/>
      </w:r>
    </w:p>
  </w:footnote>
  <w:footnote w:type="continuationSeparator" w:id="0">
    <w:p w:rsidR="0077305E" w:rsidRDefault="0077305E" w:rsidP="0032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CD4"/>
    <w:multiLevelType w:val="hybridMultilevel"/>
    <w:tmpl w:val="35B01A32"/>
    <w:lvl w:ilvl="0" w:tplc="3C448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8A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E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EA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EF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CA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2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E3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2A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225E9"/>
    <w:multiLevelType w:val="hybridMultilevel"/>
    <w:tmpl w:val="4ED6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5369B"/>
    <w:multiLevelType w:val="hybridMultilevel"/>
    <w:tmpl w:val="533C84F2"/>
    <w:lvl w:ilvl="0" w:tplc="DE8C5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8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C52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C2E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31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A8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49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471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A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C13D3"/>
    <w:multiLevelType w:val="hybridMultilevel"/>
    <w:tmpl w:val="F2928910"/>
    <w:lvl w:ilvl="0" w:tplc="2A6CC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53421"/>
    <w:multiLevelType w:val="hybridMultilevel"/>
    <w:tmpl w:val="8CCE5B80"/>
    <w:lvl w:ilvl="0" w:tplc="D95AD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A46BE"/>
    <w:multiLevelType w:val="hybridMultilevel"/>
    <w:tmpl w:val="35A0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7267"/>
    <w:multiLevelType w:val="hybridMultilevel"/>
    <w:tmpl w:val="6D62C78E"/>
    <w:lvl w:ilvl="0" w:tplc="473091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0"/>
        <w:szCs w:val="20"/>
        <w:lang w:val="fr-FR"/>
      </w:rPr>
    </w:lvl>
    <w:lvl w:ilvl="1" w:tplc="DCAAF26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F702AC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E2F31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40A14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C24CC4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A0AEC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56ED1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AEE65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38"/>
    <w:rsid w:val="00016E56"/>
    <w:rsid w:val="00020BAA"/>
    <w:rsid w:val="0003549D"/>
    <w:rsid w:val="000459F0"/>
    <w:rsid w:val="00072C88"/>
    <w:rsid w:val="000D3AA0"/>
    <w:rsid w:val="000E3387"/>
    <w:rsid w:val="000F7009"/>
    <w:rsid w:val="0011140F"/>
    <w:rsid w:val="00154A21"/>
    <w:rsid w:val="00181CEB"/>
    <w:rsid w:val="001C0418"/>
    <w:rsid w:val="001C3034"/>
    <w:rsid w:val="00202D18"/>
    <w:rsid w:val="00211B5F"/>
    <w:rsid w:val="00227738"/>
    <w:rsid w:val="002338A8"/>
    <w:rsid w:val="00234B16"/>
    <w:rsid w:val="00244329"/>
    <w:rsid w:val="00264DAE"/>
    <w:rsid w:val="002760B0"/>
    <w:rsid w:val="002806B0"/>
    <w:rsid w:val="002A4364"/>
    <w:rsid w:val="002C25A8"/>
    <w:rsid w:val="002D427E"/>
    <w:rsid w:val="002D4AAF"/>
    <w:rsid w:val="00301292"/>
    <w:rsid w:val="00323BE2"/>
    <w:rsid w:val="00325864"/>
    <w:rsid w:val="00347F7C"/>
    <w:rsid w:val="0037086A"/>
    <w:rsid w:val="00381088"/>
    <w:rsid w:val="003A35A3"/>
    <w:rsid w:val="003D4693"/>
    <w:rsid w:val="003D5D89"/>
    <w:rsid w:val="003D6697"/>
    <w:rsid w:val="003E1D3A"/>
    <w:rsid w:val="0042668A"/>
    <w:rsid w:val="00432B4D"/>
    <w:rsid w:val="0047121E"/>
    <w:rsid w:val="0047429D"/>
    <w:rsid w:val="004767A0"/>
    <w:rsid w:val="004E6361"/>
    <w:rsid w:val="00506A33"/>
    <w:rsid w:val="005169A2"/>
    <w:rsid w:val="00551A52"/>
    <w:rsid w:val="00554E78"/>
    <w:rsid w:val="00572B50"/>
    <w:rsid w:val="005C1B55"/>
    <w:rsid w:val="005E0C77"/>
    <w:rsid w:val="00636318"/>
    <w:rsid w:val="00636F8C"/>
    <w:rsid w:val="0064165C"/>
    <w:rsid w:val="0064231F"/>
    <w:rsid w:val="00642340"/>
    <w:rsid w:val="00647B48"/>
    <w:rsid w:val="006A1535"/>
    <w:rsid w:val="006B08BF"/>
    <w:rsid w:val="006B330E"/>
    <w:rsid w:val="006B74D6"/>
    <w:rsid w:val="006E2B25"/>
    <w:rsid w:val="006F065B"/>
    <w:rsid w:val="006F60B2"/>
    <w:rsid w:val="007169F1"/>
    <w:rsid w:val="00724991"/>
    <w:rsid w:val="0077305E"/>
    <w:rsid w:val="00777C6B"/>
    <w:rsid w:val="00792F70"/>
    <w:rsid w:val="007A4B14"/>
    <w:rsid w:val="007C1078"/>
    <w:rsid w:val="007D07D3"/>
    <w:rsid w:val="00817074"/>
    <w:rsid w:val="00857B39"/>
    <w:rsid w:val="00881277"/>
    <w:rsid w:val="008A518B"/>
    <w:rsid w:val="008E116B"/>
    <w:rsid w:val="008E332C"/>
    <w:rsid w:val="00924FE7"/>
    <w:rsid w:val="009610D1"/>
    <w:rsid w:val="00967926"/>
    <w:rsid w:val="009C17AB"/>
    <w:rsid w:val="00A113DF"/>
    <w:rsid w:val="00A22688"/>
    <w:rsid w:val="00A51C71"/>
    <w:rsid w:val="00A6178D"/>
    <w:rsid w:val="00A96B55"/>
    <w:rsid w:val="00A97E51"/>
    <w:rsid w:val="00AC4F10"/>
    <w:rsid w:val="00AD18FF"/>
    <w:rsid w:val="00B070C5"/>
    <w:rsid w:val="00B1576D"/>
    <w:rsid w:val="00B26BED"/>
    <w:rsid w:val="00B77EA6"/>
    <w:rsid w:val="00BA02CA"/>
    <w:rsid w:val="00BB0A53"/>
    <w:rsid w:val="00BC5449"/>
    <w:rsid w:val="00BD4510"/>
    <w:rsid w:val="00BD6FE4"/>
    <w:rsid w:val="00BF21DB"/>
    <w:rsid w:val="00C12C01"/>
    <w:rsid w:val="00C162F4"/>
    <w:rsid w:val="00C31231"/>
    <w:rsid w:val="00C63135"/>
    <w:rsid w:val="00C747B2"/>
    <w:rsid w:val="00C86B06"/>
    <w:rsid w:val="00CA5846"/>
    <w:rsid w:val="00CA7002"/>
    <w:rsid w:val="00D00FC5"/>
    <w:rsid w:val="00D05316"/>
    <w:rsid w:val="00D07F1A"/>
    <w:rsid w:val="00D330E5"/>
    <w:rsid w:val="00D36E0D"/>
    <w:rsid w:val="00D61F32"/>
    <w:rsid w:val="00D6434E"/>
    <w:rsid w:val="00D67FE9"/>
    <w:rsid w:val="00DA2AF6"/>
    <w:rsid w:val="00DC3DDB"/>
    <w:rsid w:val="00DF417F"/>
    <w:rsid w:val="00E03E7D"/>
    <w:rsid w:val="00E46FF1"/>
    <w:rsid w:val="00E766B4"/>
    <w:rsid w:val="00E776B2"/>
    <w:rsid w:val="00E86409"/>
    <w:rsid w:val="00EA25D0"/>
    <w:rsid w:val="00EF627D"/>
    <w:rsid w:val="00F173F8"/>
    <w:rsid w:val="00F33129"/>
    <w:rsid w:val="00F64168"/>
    <w:rsid w:val="00F647C9"/>
    <w:rsid w:val="00F65D36"/>
    <w:rsid w:val="00F724DD"/>
    <w:rsid w:val="00F74250"/>
    <w:rsid w:val="00FB7B29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E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73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rsid w:val="00347F7C"/>
    <w:rPr>
      <w:color w:val="0000FF"/>
      <w:u w:val="single"/>
    </w:rPr>
  </w:style>
  <w:style w:type="paragraph" w:styleId="BalloonText">
    <w:name w:val="Balloon Text"/>
    <w:basedOn w:val="Normal"/>
    <w:semiHidden/>
    <w:rsid w:val="002C25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03E7D"/>
    <w:rPr>
      <w:sz w:val="16"/>
      <w:szCs w:val="16"/>
    </w:rPr>
  </w:style>
  <w:style w:type="paragraph" w:styleId="CommentText">
    <w:name w:val="annotation text"/>
    <w:basedOn w:val="Normal"/>
    <w:semiHidden/>
    <w:rsid w:val="00E03E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3E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153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1535"/>
    <w:rPr>
      <w:rFonts w:ascii="Consolas" w:eastAsiaTheme="minorHAnsi" w:hAnsi="Consolas" w:cstheme="minorBidi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DF4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F4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rsid w:val="0032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B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E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A35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A3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E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73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rsid w:val="00347F7C"/>
    <w:rPr>
      <w:color w:val="0000FF"/>
      <w:u w:val="single"/>
    </w:rPr>
  </w:style>
  <w:style w:type="paragraph" w:styleId="BalloonText">
    <w:name w:val="Balloon Text"/>
    <w:basedOn w:val="Normal"/>
    <w:semiHidden/>
    <w:rsid w:val="002C25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03E7D"/>
    <w:rPr>
      <w:sz w:val="16"/>
      <w:szCs w:val="16"/>
    </w:rPr>
  </w:style>
  <w:style w:type="paragraph" w:styleId="CommentText">
    <w:name w:val="annotation text"/>
    <w:basedOn w:val="Normal"/>
    <w:semiHidden/>
    <w:rsid w:val="00E03E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3E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153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1535"/>
    <w:rPr>
      <w:rFonts w:ascii="Consolas" w:eastAsiaTheme="minorHAnsi" w:hAnsi="Consolas" w:cstheme="minorBidi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DF41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F41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rsid w:val="0032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B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E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A35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A3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pay.dfas.mil/mypay.aspx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CFC e-Pledge Participating Agencies</vt:lpstr>
    </vt:vector>
  </TitlesOfParts>
  <Company>Department of the Treasury</Company>
  <LinksUpToDate>false</LinksUpToDate>
  <CharactersWithSpaces>4161</CharactersWithSpaces>
  <SharedDoc>false</SharedDoc>
  <HLinks>
    <vt:vector size="12" baseType="variant">
      <vt:variant>
        <vt:i4>4325453</vt:i4>
      </vt:variant>
      <vt:variant>
        <vt:i4>9</vt:i4>
      </vt:variant>
      <vt:variant>
        <vt:i4>0</vt:i4>
      </vt:variant>
      <vt:variant>
        <vt:i4>5</vt:i4>
      </vt:variant>
      <vt:variant>
        <vt:lpwstr>https://www.employeeexpress.gov/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https://www.employeeexpress.gov/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CFC e-Pledge Participating Agencies</dc:title>
  <dc:creator>nyxcb</dc:creator>
  <cp:lastModifiedBy>Anthony DeCristofaro</cp:lastModifiedBy>
  <cp:revision>2</cp:revision>
  <cp:lastPrinted>2009-06-03T11:25:00Z</cp:lastPrinted>
  <dcterms:created xsi:type="dcterms:W3CDTF">2016-07-06T19:26:00Z</dcterms:created>
  <dcterms:modified xsi:type="dcterms:W3CDTF">2016-07-06T19:26:00Z</dcterms:modified>
</cp:coreProperties>
</file>